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147"/>
        <w:jc w:val="right"/>
        <w:textAlignment w:val="auto"/>
        <w:rPr>
          <w:rFonts w:hint="eastAsia" w:ascii="仿宋" w:hAnsi="仿宋" w:eastAsia="仿宋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right="150"/>
        <w:jc w:val="right"/>
        <w:rPr>
          <w:rFonts w:hint="eastAsia" w:ascii="仿宋" w:hAnsi="仿宋" w:eastAsia="仿宋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right="150"/>
        <w:jc w:val="both"/>
        <w:rPr>
          <w:rFonts w:hint="eastAsia" w:ascii="仿宋" w:hAnsi="仿宋" w:eastAsia="仿宋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right="150"/>
        <w:jc w:val="right"/>
        <w:rPr>
          <w:rFonts w:hint="eastAsia" w:ascii="仿宋" w:hAnsi="仿宋" w:eastAsia="仿宋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right="150"/>
        <w:jc w:val="right"/>
        <w:rPr>
          <w:rFonts w:hint="eastAsia" w:ascii="仿宋" w:hAnsi="仿宋" w:eastAsia="仿宋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right="150"/>
        <w:jc w:val="both"/>
        <w:rPr>
          <w:rFonts w:hint="eastAsia" w:ascii="仿宋" w:hAnsi="仿宋" w:eastAsia="仿宋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right="150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中涂协（2023）协字第020号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right="150"/>
        <w:jc w:val="center"/>
        <w:rPr>
          <w:rFonts w:hint="eastAsia" w:ascii="宋体" w:hAnsi="宋体"/>
          <w:sz w:val="30"/>
          <w:szCs w:val="30"/>
        </w:rPr>
      </w:pPr>
    </w:p>
    <w:p>
      <w:pPr>
        <w:jc w:val="left"/>
        <w:rPr>
          <w:rFonts w:hint="eastAsia"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  <w:t>关于召开“2023中国绿色工业涂料涂装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  <w:t>交流合作大会”会议通知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" w:hAnsi="仿宋" w:eastAsia="仿宋"/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为贯彻落实国家绿色发展理念，坚决打好“蓝天保卫战”，打通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绿色</w:t>
      </w:r>
      <w:r>
        <w:rPr>
          <w:rFonts w:hint="eastAsia" w:ascii="仿宋_GB2312" w:hAnsi="仿宋_GB2312" w:eastAsia="仿宋_GB2312" w:cs="仿宋_GB2312"/>
          <w:sz w:val="32"/>
          <w:szCs w:val="32"/>
        </w:rPr>
        <w:t>工业涂料涂装应用瓶颈，中国涂料工业协会拟于2023年6月26-28日在山东临沂市郯城县召开“2023中国绿色工业涂料涂装交流合作大会”。临沂市的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绿色</w:t>
      </w:r>
      <w:r>
        <w:rPr>
          <w:rFonts w:hint="eastAsia" w:ascii="仿宋_GB2312" w:hAnsi="仿宋_GB2312" w:eastAsia="仿宋_GB2312" w:cs="仿宋_GB2312"/>
          <w:sz w:val="32"/>
          <w:szCs w:val="32"/>
        </w:rPr>
        <w:t>工业涂料涂装应用潜力巨大，已形成工程机械、农业机械、汽车、激光四大行业主导，建材机械、五金机械、仪器仪表、木业机械、机械电子等特色机械及基础零部件同步发展的格局。会议将邀请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绿色</w:t>
      </w:r>
      <w:r>
        <w:rPr>
          <w:rFonts w:hint="eastAsia" w:ascii="仿宋_GB2312" w:hAnsi="仿宋_GB2312" w:eastAsia="仿宋_GB2312" w:cs="仿宋_GB2312"/>
          <w:sz w:val="32"/>
          <w:szCs w:val="32"/>
        </w:rPr>
        <w:t>工业涂料涂装及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绿色</w:t>
      </w:r>
      <w:r>
        <w:rPr>
          <w:rFonts w:hint="eastAsia" w:ascii="仿宋_GB2312" w:hAnsi="仿宋_GB2312" w:eastAsia="仿宋_GB2312" w:cs="仿宋_GB2312"/>
          <w:sz w:val="32"/>
          <w:szCs w:val="32"/>
        </w:rPr>
        <w:t>工业涂料产业链的重点企业进行供需对接交流。会议将围绕“低碳环保，绿色涂装在行动”主题，分析研讨未来绿色工业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涂料</w:t>
      </w:r>
      <w:r>
        <w:rPr>
          <w:rFonts w:hint="eastAsia" w:ascii="仿宋_GB2312" w:hAnsi="仿宋_GB2312" w:eastAsia="仿宋_GB2312" w:cs="仿宋_GB2312"/>
          <w:sz w:val="32"/>
          <w:szCs w:val="32"/>
        </w:rPr>
        <w:t>涂装的创新发展，探讨新一代信息技术、智能制造、智能运维与健康管理，以新技术、新材料、新工艺助力绿色工业涂料涂装技术新发展。会议同期将进行绿色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工业</w:t>
      </w:r>
      <w:r>
        <w:rPr>
          <w:rFonts w:hint="eastAsia" w:ascii="仿宋_GB2312" w:hAnsi="仿宋_GB2312" w:eastAsia="仿宋_GB2312" w:cs="仿宋_GB2312"/>
          <w:sz w:val="32"/>
          <w:szCs w:val="32"/>
        </w:rPr>
        <w:t>涂料涂装成果展示及涂装工艺技术咨询活动。现就会议相关事宜通知如下：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一、会议主题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低碳环保，绿色涂装在行动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-368" w:rightChars="-175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二、主办单位：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中国涂料工业协会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联合主办单位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：郯城县人民政府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承办单位：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中国涂料工业协会绿色工业涂料涂装分会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郯城经济开发区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2240" w:firstLineChars="700"/>
        <w:jc w:val="left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山东省涂料行业协会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主协办单位：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山西华豹新材料有限公司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      广州集泰化工股份有限公司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协办单位：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浙江维成新材料有限公司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武汉九西新材料有限公司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广东银洋环保新材料有限公司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临沂三佳聚合乳胶有限公司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上海保立佳化工股份有限公司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江苏欧摩德新材料有限公司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上海鹏图抗菌新材料有限公司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支持单位：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马鞍山采石矶涂料有限公司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浙江丰虹新材料股份有限公司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山东新华裕化工有限公司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上海乐橘科技有限公司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三、会议安排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1、时间及内容安排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●6月26日 全天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大会报到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●6月26日下午16：00-18：00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涂料行业绿色工业涂料涂装对接交流会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●6月27日全天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2023中国绿色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工业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涂料涂装交流合作大会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●6月28日上午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参观工业园区及重点企业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2、同期举行绿色工业涂料涂装成果展示及涂装工艺技术咨询活动。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四、参会单位及人员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1、中国涂料工业协会有关领导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2、中国涂料工业协会绿色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工业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涂料涂装分会会员单位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3、绿色工业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涂料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涂装上下游产业链企业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4、相关国家部委、科研院所、行业协会（商会、学会）；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5、绿色工业涂料涂装应用企业；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6、绿色工业涂料生产企业；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7、绿色工业涂料涂装科研院所等产学研用相关单位。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五、会议地点 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1、会议地点：郯城杏园大酒店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（山东省临沂市郯城县开阳路与府前街交汇处）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酒店电话：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18560530858     0539-6670666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2、会议接站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推荐到达：新沂高铁南站（距离酒店30公里）、临沂高铁北站（距离酒店70公里）、枣庄高铁站（距离酒店140公里）、临沂启阳机场（距离酒店50公里）。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六、会议联系人 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程  平  13935165361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朱  江  13311291701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牛长睿  13366150895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刘  红  15035192709 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钟小枚  13593145230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魏宇童  18500199937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E-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mail：hycncia@vip.163.com 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            huabaorlzyb@163.com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七、会务费用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1、注册费用　(会议免会务费、餐费、住宿费)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注册费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：800元/人；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2023年6月22日之前报名并成功缴费将享受优惠：注册费 600元/人；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食宿费：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参会代表免食宿费（两晚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拼房，如需单间需另补差价300元/人）。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2、报名及汇款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请参会人员将回执表传真或发邮件到中国涂料工业协会（具体见会议联系），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注册费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需要提前以汇款方式缴纳，现场不接受交费注册。请于2023年6月22日之前汇款，汇款账号信息如下：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户  名：中国涂料工业协会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开户行：工商银行北京六铺炕支行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账  号：0200022309014431804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48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48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48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48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48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48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480" w:firstLine="5140" w:firstLineChars="16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中国涂料工业协会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140" w:firstLineChars="16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2023年05月11日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000000"/>
          <w:sz w:val="36"/>
          <w:szCs w:val="36"/>
        </w:rPr>
        <w:t>2023中国绿色</w:t>
      </w:r>
      <w:r>
        <w:rPr>
          <w:rFonts w:hint="eastAsia" w:ascii="仿宋_GB2312" w:hAnsi="仿宋_GB2312" w:eastAsia="仿宋_GB2312" w:cs="仿宋_GB2312"/>
          <w:b/>
          <w:color w:val="000000"/>
          <w:sz w:val="36"/>
          <w:szCs w:val="36"/>
          <w:lang w:eastAsia="zh-CN"/>
        </w:rPr>
        <w:t>工业</w:t>
      </w:r>
      <w:r>
        <w:rPr>
          <w:rFonts w:hint="eastAsia" w:ascii="仿宋_GB2312" w:hAnsi="仿宋_GB2312" w:eastAsia="仿宋_GB2312" w:cs="仿宋_GB2312"/>
          <w:b/>
          <w:color w:val="000000"/>
          <w:sz w:val="36"/>
          <w:szCs w:val="36"/>
        </w:rPr>
        <w:t>涂料涂装交流合作大会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000000"/>
          <w:sz w:val="36"/>
          <w:szCs w:val="36"/>
        </w:rPr>
        <w:t>会议回执表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jc w:val="center"/>
        <w:textAlignment w:val="auto"/>
        <w:rPr>
          <w:rFonts w:ascii="仿宋" w:hAnsi="仿宋" w:eastAsia="仿宋"/>
          <w:b/>
          <w:color w:val="000000"/>
          <w:sz w:val="32"/>
          <w:szCs w:val="32"/>
        </w:rPr>
      </w:pPr>
    </w:p>
    <w:tbl>
      <w:tblPr>
        <w:tblStyle w:val="3"/>
        <w:tblW w:w="98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706"/>
        <w:gridCol w:w="830"/>
        <w:gridCol w:w="996"/>
        <w:gridCol w:w="944"/>
        <w:gridCol w:w="1116"/>
        <w:gridCol w:w="809"/>
        <w:gridCol w:w="857"/>
        <w:gridCol w:w="16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54" w:type="dxa"/>
            <w:vAlign w:val="center"/>
          </w:tcPr>
          <w:p>
            <w:pPr>
              <w:tabs>
                <w:tab w:val="left" w:pos="600"/>
              </w:tabs>
              <w:spacing w:beforeAutospacing="0" w:afterAutospacing="0" w:line="5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1706" w:type="dxa"/>
            <w:vAlign w:val="center"/>
          </w:tcPr>
          <w:p>
            <w:pPr>
              <w:tabs>
                <w:tab w:val="left" w:pos="600"/>
              </w:tabs>
              <w:spacing w:beforeAutospacing="0" w:afterAutospacing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tabs>
                <w:tab w:val="left" w:pos="600"/>
              </w:tabs>
              <w:spacing w:beforeAutospacing="0" w:afterAutospacing="0" w:line="5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996" w:type="dxa"/>
            <w:vAlign w:val="center"/>
          </w:tcPr>
          <w:p>
            <w:pPr>
              <w:tabs>
                <w:tab w:val="left" w:pos="600"/>
              </w:tabs>
              <w:spacing w:beforeAutospacing="0" w:afterAutospacing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tabs>
                <w:tab w:val="left" w:pos="600"/>
              </w:tabs>
              <w:spacing w:beforeAutospacing="0" w:afterAutospacing="0" w:line="5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职务</w:t>
            </w:r>
          </w:p>
        </w:tc>
        <w:tc>
          <w:tcPr>
            <w:tcW w:w="1116" w:type="dxa"/>
            <w:vAlign w:val="center"/>
          </w:tcPr>
          <w:p>
            <w:pPr>
              <w:tabs>
                <w:tab w:val="left" w:pos="600"/>
              </w:tabs>
              <w:spacing w:beforeAutospacing="0" w:afterAutospacing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tabs>
                <w:tab w:val="left" w:pos="600"/>
              </w:tabs>
              <w:spacing w:beforeAutospacing="0" w:afterAutospacing="0" w:line="5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手机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tabs>
                <w:tab w:val="left" w:pos="600"/>
              </w:tabs>
              <w:spacing w:beforeAutospacing="0" w:afterAutospacing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954" w:type="dxa"/>
            <w:vAlign w:val="center"/>
          </w:tcPr>
          <w:p>
            <w:pPr>
              <w:tabs>
                <w:tab w:val="left" w:pos="600"/>
              </w:tabs>
              <w:spacing w:beforeAutospacing="0" w:afterAutospacing="0" w:line="5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1706" w:type="dxa"/>
            <w:vAlign w:val="center"/>
          </w:tcPr>
          <w:p>
            <w:pPr>
              <w:tabs>
                <w:tab w:val="left" w:pos="600"/>
              </w:tabs>
              <w:spacing w:beforeAutospacing="0" w:afterAutospacing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beforeAutospacing="0" w:afterAutospacing="0" w:line="5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996" w:type="dxa"/>
            <w:vAlign w:val="center"/>
          </w:tcPr>
          <w:p>
            <w:pPr>
              <w:tabs>
                <w:tab w:val="left" w:pos="600"/>
              </w:tabs>
              <w:spacing w:beforeAutospacing="0" w:afterAutospacing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beforeAutospacing="0" w:afterAutospacing="0" w:line="5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职务</w:t>
            </w:r>
          </w:p>
        </w:tc>
        <w:tc>
          <w:tcPr>
            <w:tcW w:w="1116" w:type="dxa"/>
            <w:vAlign w:val="center"/>
          </w:tcPr>
          <w:p>
            <w:pPr>
              <w:tabs>
                <w:tab w:val="left" w:pos="600"/>
              </w:tabs>
              <w:spacing w:beforeAutospacing="0" w:afterAutospacing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beforeAutospacing="0" w:afterAutospacing="0" w:line="5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手机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tabs>
                <w:tab w:val="left" w:pos="600"/>
              </w:tabs>
              <w:spacing w:beforeAutospacing="0" w:afterAutospacing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954" w:type="dxa"/>
            <w:vAlign w:val="center"/>
          </w:tcPr>
          <w:p>
            <w:pPr>
              <w:tabs>
                <w:tab w:val="left" w:pos="600"/>
              </w:tabs>
              <w:spacing w:beforeAutospacing="0" w:afterAutospacing="0" w:line="5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1706" w:type="dxa"/>
            <w:vAlign w:val="center"/>
          </w:tcPr>
          <w:p>
            <w:pPr>
              <w:tabs>
                <w:tab w:val="left" w:pos="600"/>
              </w:tabs>
              <w:spacing w:beforeAutospacing="0" w:afterAutospacing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beforeAutospacing="0" w:afterAutospacing="0" w:line="5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996" w:type="dxa"/>
            <w:vAlign w:val="center"/>
          </w:tcPr>
          <w:p>
            <w:pPr>
              <w:tabs>
                <w:tab w:val="left" w:pos="600"/>
              </w:tabs>
              <w:spacing w:beforeAutospacing="0" w:afterAutospacing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beforeAutospacing="0" w:afterAutospacing="0" w:line="5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职务</w:t>
            </w:r>
          </w:p>
        </w:tc>
        <w:tc>
          <w:tcPr>
            <w:tcW w:w="1116" w:type="dxa"/>
            <w:vAlign w:val="center"/>
          </w:tcPr>
          <w:p>
            <w:pPr>
              <w:tabs>
                <w:tab w:val="left" w:pos="600"/>
              </w:tabs>
              <w:spacing w:beforeAutospacing="0" w:afterAutospacing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beforeAutospacing="0" w:afterAutospacing="0" w:line="5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手机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tabs>
                <w:tab w:val="left" w:pos="600"/>
              </w:tabs>
              <w:spacing w:beforeAutospacing="0" w:afterAutospacing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54" w:type="dxa"/>
            <w:vAlign w:val="center"/>
          </w:tcPr>
          <w:p>
            <w:pPr>
              <w:tabs>
                <w:tab w:val="left" w:pos="600"/>
              </w:tabs>
              <w:spacing w:beforeAutospacing="0" w:afterAutospacing="0" w:line="5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单位</w:t>
            </w:r>
          </w:p>
        </w:tc>
        <w:tc>
          <w:tcPr>
            <w:tcW w:w="8935" w:type="dxa"/>
            <w:gridSpan w:val="8"/>
            <w:vAlign w:val="center"/>
          </w:tcPr>
          <w:p>
            <w:pPr>
              <w:tabs>
                <w:tab w:val="left" w:pos="600"/>
              </w:tabs>
              <w:spacing w:beforeAutospacing="0" w:afterAutospacing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954" w:type="dxa"/>
            <w:vAlign w:val="center"/>
          </w:tcPr>
          <w:p>
            <w:pPr>
              <w:tabs>
                <w:tab w:val="left" w:pos="600"/>
              </w:tabs>
              <w:spacing w:beforeAutospacing="0" w:afterAutospacing="0" w:line="5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地址</w:t>
            </w:r>
          </w:p>
        </w:tc>
        <w:tc>
          <w:tcPr>
            <w:tcW w:w="6401" w:type="dxa"/>
            <w:gridSpan w:val="6"/>
            <w:vAlign w:val="center"/>
          </w:tcPr>
          <w:p>
            <w:pPr>
              <w:tabs>
                <w:tab w:val="left" w:pos="600"/>
              </w:tabs>
              <w:spacing w:beforeAutospacing="0" w:afterAutospacing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tabs>
                <w:tab w:val="left" w:pos="600"/>
              </w:tabs>
              <w:spacing w:beforeAutospacing="0" w:afterAutospacing="0" w:line="5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邮编</w:t>
            </w:r>
          </w:p>
        </w:tc>
        <w:tc>
          <w:tcPr>
            <w:tcW w:w="1677" w:type="dxa"/>
            <w:vAlign w:val="center"/>
          </w:tcPr>
          <w:p>
            <w:pPr>
              <w:tabs>
                <w:tab w:val="left" w:pos="600"/>
              </w:tabs>
              <w:spacing w:beforeAutospacing="0" w:afterAutospacing="0" w:line="56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54" w:type="dxa"/>
            <w:vAlign w:val="center"/>
          </w:tcPr>
          <w:p>
            <w:pPr>
              <w:tabs>
                <w:tab w:val="left" w:pos="600"/>
              </w:tabs>
              <w:spacing w:beforeAutospacing="0" w:afterAutospacing="0" w:line="5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电话</w:t>
            </w:r>
          </w:p>
        </w:tc>
        <w:tc>
          <w:tcPr>
            <w:tcW w:w="1706" w:type="dxa"/>
            <w:vAlign w:val="center"/>
          </w:tcPr>
          <w:p>
            <w:pPr>
              <w:tabs>
                <w:tab w:val="left" w:pos="600"/>
              </w:tabs>
              <w:spacing w:beforeAutospacing="0" w:afterAutospacing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tabs>
                <w:tab w:val="left" w:pos="600"/>
              </w:tabs>
              <w:spacing w:beforeAutospacing="0" w:afterAutospacing="0" w:line="5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传真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tabs>
                <w:tab w:val="left" w:pos="600"/>
              </w:tabs>
              <w:spacing w:beforeAutospacing="0" w:afterAutospacing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tabs>
                <w:tab w:val="left" w:pos="600"/>
              </w:tabs>
              <w:spacing w:beforeAutospacing="0" w:afterAutospacing="0" w:line="5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E-mail</w:t>
            </w:r>
          </w:p>
        </w:tc>
        <w:tc>
          <w:tcPr>
            <w:tcW w:w="3343" w:type="dxa"/>
            <w:gridSpan w:val="3"/>
            <w:vAlign w:val="center"/>
          </w:tcPr>
          <w:p>
            <w:pPr>
              <w:tabs>
                <w:tab w:val="left" w:pos="600"/>
              </w:tabs>
              <w:spacing w:beforeAutospacing="0" w:afterAutospacing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954" w:type="dxa"/>
            <w:vAlign w:val="center"/>
          </w:tcPr>
          <w:p>
            <w:pPr>
              <w:tabs>
                <w:tab w:val="left" w:pos="600"/>
              </w:tabs>
              <w:spacing w:beforeAutospacing="0" w:afterAutospacing="0" w:line="5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住宿</w:t>
            </w:r>
          </w:p>
        </w:tc>
        <w:tc>
          <w:tcPr>
            <w:tcW w:w="4476" w:type="dxa"/>
            <w:gridSpan w:val="4"/>
            <w:vAlign w:val="center"/>
          </w:tcPr>
          <w:p>
            <w:pPr>
              <w:tabs>
                <w:tab w:val="left" w:pos="600"/>
              </w:tabs>
              <w:spacing w:beforeAutospacing="0" w:afterAutospacing="0" w:line="56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□大床包间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＿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间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双标包间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＿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间</w:t>
            </w:r>
          </w:p>
          <w:p>
            <w:pPr>
              <w:tabs>
                <w:tab w:val="left" w:pos="600"/>
              </w:tabs>
              <w:spacing w:beforeAutospacing="0" w:afterAutospacing="0" w:line="56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□合住             □</w:t>
            </w:r>
            <w:r>
              <w:rPr>
                <w:rFonts w:ascii="仿宋" w:hAnsi="仿宋" w:eastAsia="仿宋"/>
                <w:color w:val="000000"/>
                <w:sz w:val="24"/>
              </w:rPr>
              <w:t>不住</w:t>
            </w:r>
          </w:p>
        </w:tc>
        <w:tc>
          <w:tcPr>
            <w:tcW w:w="1116" w:type="dxa"/>
            <w:vAlign w:val="center"/>
          </w:tcPr>
          <w:p>
            <w:pPr>
              <w:tabs>
                <w:tab w:val="left" w:pos="600"/>
              </w:tabs>
              <w:spacing w:beforeAutospacing="0" w:afterAutospacing="0" w:line="5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入住</w:t>
            </w:r>
          </w:p>
          <w:p>
            <w:pPr>
              <w:tabs>
                <w:tab w:val="left" w:pos="600"/>
              </w:tabs>
              <w:spacing w:beforeAutospacing="0" w:afterAutospacing="0" w:line="5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时间</w:t>
            </w:r>
          </w:p>
        </w:tc>
        <w:tc>
          <w:tcPr>
            <w:tcW w:w="3343" w:type="dxa"/>
            <w:gridSpan w:val="3"/>
            <w:vAlign w:val="center"/>
          </w:tcPr>
          <w:p>
            <w:pPr>
              <w:tabs>
                <w:tab w:val="left" w:pos="600"/>
              </w:tabs>
              <w:spacing w:beforeAutospacing="0" w:afterAutospacing="0" w:line="560" w:lineRule="exact"/>
              <w:ind w:firstLine="240" w:firstLineChars="10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＿＿日入住，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＿＿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日离开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  <w:jc w:val="center"/>
        </w:trPr>
        <w:tc>
          <w:tcPr>
            <w:tcW w:w="954" w:type="dxa"/>
            <w:vAlign w:val="center"/>
          </w:tcPr>
          <w:p>
            <w:pPr>
              <w:tabs>
                <w:tab w:val="left" w:pos="600"/>
              </w:tabs>
              <w:spacing w:beforeAutospacing="0" w:afterAutospacing="0" w:line="560" w:lineRule="exact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935" w:type="dxa"/>
            <w:gridSpan w:val="8"/>
            <w:vAlign w:val="center"/>
          </w:tcPr>
          <w:p>
            <w:pPr>
              <w:tabs>
                <w:tab w:val="left" w:pos="600"/>
              </w:tabs>
              <w:spacing w:beforeAutospacing="0" w:afterAutospacing="0" w:line="560" w:lineRule="exact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 xml:space="preserve">注明接送站信息：    姓名＿＿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联系电话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＿＿</w:t>
            </w:r>
          </w:p>
          <w:p>
            <w:pPr>
              <w:tabs>
                <w:tab w:val="left" w:pos="600"/>
              </w:tabs>
              <w:spacing w:beforeAutospacing="0" w:afterAutospacing="0" w:line="560" w:lineRule="exact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 xml:space="preserve">接站时间＿＿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航班号＿＿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 xml:space="preserve">      高铁车次＿＿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</w:t>
            </w:r>
          </w:p>
          <w:p>
            <w:pPr>
              <w:tabs>
                <w:tab w:val="left" w:pos="600"/>
              </w:tabs>
              <w:spacing w:beforeAutospacing="0" w:afterAutospacing="0" w:line="560" w:lineRule="exact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 xml:space="preserve">送站时间＿＿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航班号＿＿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 xml:space="preserve">      高铁车次＿＿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</w:t>
            </w:r>
          </w:p>
        </w:tc>
      </w:tr>
    </w:tbl>
    <w:p>
      <w:pPr>
        <w:spacing w:beforeAutospacing="0" w:afterAutospacing="0" w:line="560" w:lineRule="exact"/>
        <w:ind w:left="-147" w:leftChars="-70"/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回执截止时间：2023年6月22日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。</w:t>
      </w:r>
    </w:p>
    <w:p>
      <w:pPr>
        <w:spacing w:beforeAutospacing="0" w:afterAutospacing="0" w:line="560" w:lineRule="exact"/>
        <w:ind w:left="-147" w:leftChars="-70"/>
        <w:rPr>
          <w:rFonts w:hint="eastAsia" w:ascii="仿宋" w:hAnsi="仿宋" w:eastAsia="仿宋"/>
          <w:b/>
          <w:color w:val="000000"/>
          <w:sz w:val="32"/>
          <w:szCs w:val="32"/>
        </w:rPr>
      </w:pPr>
    </w:p>
    <w:p>
      <w:pPr>
        <w:spacing w:beforeAutospacing="0" w:afterAutospacing="0" w:line="560" w:lineRule="exact"/>
        <w:ind w:left="-147" w:leftChars="-70"/>
        <w:rPr>
          <w:rFonts w:hint="eastAsia" w:ascii="仿宋" w:hAnsi="仿宋" w:eastAsia="仿宋"/>
          <w:b/>
          <w:color w:val="000000"/>
          <w:sz w:val="32"/>
          <w:szCs w:val="32"/>
        </w:rPr>
      </w:pPr>
    </w:p>
    <w:p>
      <w:pPr>
        <w:spacing w:beforeAutospacing="0" w:afterAutospacing="0" w:line="560" w:lineRule="exact"/>
        <w:ind w:left="-147" w:leftChars="-70"/>
        <w:rPr>
          <w:rFonts w:hint="eastAsia" w:ascii="仿宋" w:hAnsi="仿宋" w:eastAsia="仿宋"/>
          <w:b/>
          <w:color w:val="000000"/>
          <w:sz w:val="32"/>
          <w:szCs w:val="32"/>
        </w:rPr>
      </w:pPr>
    </w:p>
    <w:p>
      <w:pPr>
        <w:spacing w:beforeAutospacing="0" w:afterAutospacing="0" w:line="560" w:lineRule="exact"/>
        <w:ind w:left="-147" w:leftChars="-70"/>
        <w:rPr>
          <w:rFonts w:hint="eastAsia" w:ascii="仿宋" w:hAnsi="仿宋" w:eastAsia="仿宋"/>
          <w:b/>
          <w:color w:val="000000"/>
          <w:sz w:val="32"/>
          <w:szCs w:val="32"/>
        </w:rPr>
      </w:pPr>
    </w:p>
    <w:p>
      <w:pPr>
        <w:spacing w:beforeAutospacing="0" w:afterAutospacing="0" w:line="560" w:lineRule="exact"/>
        <w:ind w:left="-147" w:leftChars="-70"/>
        <w:rPr>
          <w:rFonts w:hint="eastAsia" w:ascii="仿宋" w:hAnsi="仿宋" w:eastAsia="仿宋"/>
          <w:b/>
          <w:color w:val="000000"/>
          <w:sz w:val="32"/>
          <w:szCs w:val="32"/>
        </w:rPr>
      </w:pPr>
    </w:p>
    <w:p>
      <w:pPr>
        <w:spacing w:beforeAutospacing="0" w:afterAutospacing="0" w:line="560" w:lineRule="exact"/>
        <w:ind w:left="-147" w:leftChars="-70"/>
        <w:rPr>
          <w:rFonts w:hint="eastAsia" w:ascii="仿宋" w:hAnsi="仿宋" w:eastAsia="仿宋"/>
          <w:b/>
          <w:color w:val="000000"/>
          <w:sz w:val="32"/>
          <w:szCs w:val="32"/>
        </w:rPr>
      </w:pPr>
    </w:p>
    <w:p>
      <w:pPr>
        <w:spacing w:beforeAutospacing="0" w:afterAutospacing="0" w:line="560" w:lineRule="exact"/>
        <w:ind w:left="-147" w:leftChars="-70"/>
        <w:rPr>
          <w:rFonts w:hint="eastAsia" w:ascii="仿宋" w:hAnsi="仿宋" w:eastAsia="仿宋"/>
          <w:b/>
          <w:color w:val="000000"/>
          <w:sz w:val="32"/>
          <w:szCs w:val="32"/>
        </w:rPr>
      </w:pPr>
    </w:p>
    <w:p>
      <w:pPr>
        <w:spacing w:beforeAutospacing="0" w:afterAutospacing="0" w:line="560" w:lineRule="exac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拟参会涂料、涂装企业名单：</w:t>
      </w:r>
    </w:p>
    <w:tbl>
      <w:tblPr>
        <w:tblStyle w:val="3"/>
        <w:tblW w:w="82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tblHeader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山西华豹新材料有限公司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广州集泰化工股份有限公司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浙江维成新材料有限公司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武汉九西新材料有限公司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马鞍山采石矶涂料有限公司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浙江丰虹新材料股份有限公司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北京涂多多电子商务股份有限公司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广东银洋环保新材料有限公司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临沂三佳聚合乳胶有限公司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上海保立佳化工股份有限公司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江苏欧摩德新材料有限公司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上海鹏图抗菌新材料有限公司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山东新华裕化工有限公司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上海乐橘科技有限公司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江苏柏鹤涂料有限公司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标格达精密仪器（广州）有限公司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北京金汇利应用化工制品有限公司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中山市朗玛化工实业有限公司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巴德富集团有限公司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山东奔腾漆业股份有限公司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山东嘉源复合材料有限公司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石家庄市油漆厂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天津尚德信嘉贸易有限公司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安徽开林新材料股份有限公司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天津松尾贸易有限公司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晋西车轴股份有限公司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包头北方创业有限责任公司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中车青岛四方机车车辆股份有限公司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中铁集装箱运输有限责任公司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中车沈阳机车车辆有限公司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中车眉山车辆有限公司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中车青岛四方车辆研究所有限公司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中国铁道科学研究院标准计量研究所（国家铁路产品质量监督检验中心）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中车北京二七机车有限公司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中车石家庄车辆有限公司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中车四方车辆有限公司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沈阳机车车辆厂依牛油漆厂/中车沈阳公司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齐齐哈尔现代精细化工有限公司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大连中车集装箱公司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中车西安车辆有限公司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中车长江车辆有限公司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中车常州车辆有限公司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广州电力机车有限公司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天津电力机车有限公司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大连东芝公司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红山机械厂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山西锻造厂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郑州佛光发电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大运汽车有限公司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三一重机有限公司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太原重工股份有限公司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山西电机股份有限公司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山东鲁能超越电气有限公司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临沂威科激光科技有限公司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临沂远通风机有限公司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临沂兴滕人造板机械有限公司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山东青华易科电气有限公司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山东欢迪太阳能有限公司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山东中迈电缆有限公司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山东慧迪自动化设备有限公司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山东华源锅炉有限公司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临沂市美度印刷设备有限公司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山东中诺制冷设备有限公司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金锣水务有限公司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临沂建东机械有限公司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临沂连科环保科技有限公司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山东立鼎金属材料有限公司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临沂市新天力机械有限公司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临沂建中木业机械有限公司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临沂市永立液压机械制造有限公司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临沂市兰山区盛阳板材机械厂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临沂鑫瑞达木业机械制造有限公司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临沂金座木业机械制造有限公司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大阳通用机械有限公司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山东华星工程机械有限公司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临沂市龙盛机械有限公司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山东北易车业有限公司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山东中磁动力机械有限公司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山东科美帝电气科技有限公司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临沂盖氏机械有限公司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临沂市金立机械有限公司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山东富立硼玻科技有限公司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临沂亚龙机械有限责任公司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临沂宏业化工设备有限公司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山东康源环保科技有限公司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临沂市罗庄区可特环保设备有限公司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山东雨润环保机械设备有限公司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临沂山华机械制造有限公司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临沂市金铖机械设备有限公司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临沂中兴环保科技有限公司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临沂市冠祥能源设备有限公司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临沂市恒茂窑炉工程有限公司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山东盛阳工程机械有限公司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山东东方电能有限公司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临沂市蓝欧植保机械有限公司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山东华盛农业药械有限责任公司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临沂金正机械有限公司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临沂市志永机械有限公司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临沂琪瑞机械有限公司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临沂市大壮机械有限公司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临沂成盛精机制造有限公司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山东鹏展电气有限公司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山东立方环保设备有限公司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临沂畅悦电线电缆有限公司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山东金蒙电线电缆有限公司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106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山东万融电力器材有限公司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107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山东融盛线缆有限公司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临沂中邦科技有限公司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109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临沂瑞博液压机械有限公司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临沂永建金属科技有限公司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111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山东启阳工具有限公司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112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临沂市祥云金属制品有限公司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113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山东华太新能源电池有限公司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114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山东正工机械有限公司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115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山东千盛电力设备工程有限公司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116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山东富祥铸造有限公司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117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临沂三超磨具有限公司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118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山东皓辉金属制品有限公司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119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山东欧圣达新能源有限公司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山东现大精密机械有限公司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121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临沂恒工机械有限公司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122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山东振淇机械股份有限公司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123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临沂源生金属材料有限公司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124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山东圣大环保工程有限公司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125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友光电线电缆有限公司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126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沂南县凯粒莱机械有限公司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127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山东华盛中天工程机械有限责任公司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128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格瓴新能源科技（山东）有限公司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129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山东航和医疗设备有限公司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130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山东巴士新能源车业有限公司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131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山东爱德邦智能科技有限公司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132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绿源电动车(山东)有限公司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133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山东巨能摩擦材料制造有限公司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134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山东全福鞍座有限公司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135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山东轴研精密轴承有限公司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136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利凯（临沂）电动科技有限公司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137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山东阳光众泰机械工程有限公司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138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东岳机械股份有限公司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139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临沂东岳压力容器设备制造有限公司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140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山东伟达环保机械有限公司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141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山东东风双隆机械有限公司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142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山东宏发科工贸有限公司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143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临沂正信环保科技有限公司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144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山东时越智能机械有限公司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145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山东格仑特电动科技有限公司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146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临沂盛源环保科技有限公司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147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山东盛泽机械有限公司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148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山东中汇泽换热设备有限公司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149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山东星能安新能源科技有限公司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临沂科凯医疗器械有限公司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151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山东德利佳户外用品有限公司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152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山东沂人智能制造科技有限公司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153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山东诺为制药流体系统有限公司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154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山东麦德盈华科技有限公司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155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郯城峰升机械制造有限公司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156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山东博士乐液压有限公司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157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郯城丰润粮机配件有限公司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158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临沂福友畜牧科技有限公司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159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山东胜亚机械有限公司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160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临沂拓顿换热设备有限公司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161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山东沂水机床厂有限公司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162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山东群力通机械有限公司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163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山东欧亚特液压机械有限公司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164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沂水县三洋液压机械有限公司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165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山东恒亚机床制造有限公司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166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山东三正机床有限责任公司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167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临沂业隆通用机械有限公司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168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山东连杆总厂有限公司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169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沂水县锦程液压机械有限公司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170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德普卡勒（中国）机械有限公司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171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山东开锐智能装备有限公司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172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山东源泉机械有限公司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173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沂水利丰液压机械有限责任公司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174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山东福阳液压科技有限公司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175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山东雪峰电气有限公司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176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宝美隆(山东)智能制造科技有限公司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177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山东普艾迪新能源有限公司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178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沂水县金龙喷灌机厂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179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沂水众鑫机械有限公司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180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山东明沃机械有限公司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181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山东兴田机械有限公司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182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沂水县街景环保科技有限公司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183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临沂凯益自动化设备有限公司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184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山东京普太阳能科技股份有限公司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185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山东奇达机床制造有限公司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186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山东美达重工机械有限公司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187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山东沂工机械有限公司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188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临沂浩宇机械有限公司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189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临沂德胜机械有限公司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190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临沂瑞科机械有限公司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191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沂水县瑞志机械设备有限公司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192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山东临通汽车有限公司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193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沂水广聚油缸制造有限公司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194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山东龙鑫环保设备有限公司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195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临沂双飞汽车线束系统有限公司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196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山东茂华农牧有限公司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197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山东智班自动化设备有限公司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198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沂水县正浩液压机械有限公司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199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山东华辰聚兴机械有限公司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临沂聚兴液压机械有限公司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201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山东利明机械有限公司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202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沂水县兴达机械有限公司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203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魁伯恩重工（兰陵）有限公司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204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亚美达（兰陵）汽配有限公司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205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山东银成新能源科技有限公司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206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山东神州工业科技有限公司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207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山东金美尔机电科技有限公司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208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兰陵县工程机械配件厂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209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山东海洋结构件制造有限公司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210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费县大陆阀门有限公司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211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山东旋金机械有限公司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212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山东铨盛重工有限公司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213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山东湿腾环境科技有限公司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214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汇立装备制造有限公司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215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山东蒙星机械有限公司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216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临沂万和精工机械有限公司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217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山东蒙沃变速器有限公司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218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山东冠通交通设施有限公司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219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山东卫禾传动科技有限公司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220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亚洲富士电梯（临沂）有限公司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221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山东潍柴雷沃传动有限公司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222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山东路美交通设施有限公司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223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临沂慧航机械有限公司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224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临沂华泰机械有限公司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225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平邑县昌盛机械有限公司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226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山东广协金属科技有限公司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227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山东省临沂科威机械有限公司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228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平邑县中顺纺织机械有限公司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229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山东福安电气有限公司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230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山东金图电器有限公司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231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莒南县华罗丽工贸有限公司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232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山东白龙机械有限公司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233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山东碧海机械科技有限公司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234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莒南县美达电力实业有限公司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235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山东同兴金属板材有限公司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236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山东华宝太阳能设备有限公司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237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莒南县建发铸造厂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238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山东良欣机械有限公司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239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蒙阴县飞达矿山工程机械有限公司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240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山东聚龙装备制造有限公司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241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山东省蒙阴县拖车厂有限公司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242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山东迈拓威实业有限公司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243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蒙阴昌昊机械制造有限公司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244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山东永明电器有限公司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245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蒙阴恒瑞重型机械配件有限公司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246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蒙阴县鹏程万里车辆有限公司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247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蒙阴县天成矿业有限公司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248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蒙阴县瑞祥钎具有限公司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249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山东通迈车辆制造有限公司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250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蒙阴齐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宬</w:t>
            </w:r>
            <w:r>
              <w:rPr>
                <w:rStyle w:val="18"/>
                <w:rFonts w:hAnsi="宋体"/>
                <w:lang w:val="en-US" w:eastAsia="zh-CN" w:bidi="ar"/>
              </w:rPr>
              <w:t>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251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蒙阴瑞华机械有限公司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252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山东昌龙汽车制造有限公司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253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山东山工钢圈有限公司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254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临沂临工重托机械有限公司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255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山东首达汽车制造有限公司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256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蒙阴五月树液压机械有限公司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257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蒙阴华峰机车车辆配件有限公司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258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环贸机器人科技（山东）有限公司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259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山东华伟重特机械有限公司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260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山东锣响汽车制造有限公司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261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山东九州汽车制造有限公司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262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山东纳赫汽车零部件有限公司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263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山东艾克赛尔机械制造有限公司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264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山东华耀汽车配件有限公司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265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山东安顺工矿设备制造有限公司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266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临沂强骏车辆有限公司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267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蒙阴蒙博机械制造有限公司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268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临沂金飞重工有限公司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269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临沂博庭机械科技有限公司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270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山东卡特重工机械有限公司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271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山东中润液压机械有限公司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272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君泽精密机械（山东）有限公司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273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力士德工程机械股份有限公司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274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山东大启机械有限公司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275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道依茨法尔机械有限公司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276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山东基弗智能制造有限公司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277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临沂诚金液压机械铸造有限公司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278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山东路友再生资源设备有限公司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279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山东宝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昇</w:t>
            </w:r>
            <w:r>
              <w:rPr>
                <w:rStyle w:val="18"/>
                <w:rFonts w:hAnsi="宋体"/>
                <w:lang w:val="en-US" w:eastAsia="zh-CN" w:bidi="ar"/>
              </w:rPr>
              <w:t>电器设备有限公司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280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临沂日捷隔板有限公司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281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山东丰年模具制造有限公司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282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临沂超威动力机械有限公司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283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临沂高新区鲁润净水设备有限公司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284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山东汉光电缆股份有限公司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285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临沂市能量环保材料科技有限公司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286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山东格新精工有限公司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287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山东瑞彬精密制造有限责任公司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288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山东琳恩国际贸易有限公司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289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临沂沂光电缆有限公司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290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山东金奥机械有限公司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291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山东航宇汽车配件有限公司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292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山东金宝山机械有限公司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293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临沂市丰瑞植保电子设备有限公司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294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临沂顺广机械设备有限公司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295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山东普丰园林科技有限公司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296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临沂恒懋智能科技有限公司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297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山东朗森机械有限公司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298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临沂市华阳机械有限公司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299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山东联胜智能设备有限公司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山东博胜动力科技股份有限公司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301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山东临沂金星机床有限公司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302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山东恒和电气有限公司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303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临沂高新区宝石路光电有限公司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304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山东博发动力机械有限公司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305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山东凯通电子有限公司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306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山东蓝博环保设备有限公司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307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山东常美机械制造有限公司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308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临沂德志机械配件锻造有限公司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309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临沂鑫聚机械有限公司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310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山东金轮机械制造有限公司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311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临沂临工智能信息科技有限公司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312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临沂临工振兴机械有限公司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313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奔腾激光科技（山东）有限公司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314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临沂市华润达金属制品有限公司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315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临沂荣晖智能装备有限公司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316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临沂晋安机械有限公司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317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临沂曼宝过滤器制造有限公司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318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山东旭洋机械集团股份有限公司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319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山东硕诚机械有限公司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320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山东天恒电子科技有限公司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321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临沂临工金利机械有限公司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322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临沂金盛机械配套有限公司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323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临沂市宇顺机械有限公司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324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山东金利液压科技有限公司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325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临沂临工德鑫机械有限责任公司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326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山东舜阳机械有限公司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327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临沂耐尔液压科技有限公司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328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山东临风科技股份有限公司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329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临沂华夏重工有限公司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330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山东嘉乐电雕制版有限公司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331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临沂银鑫工程机械有限公司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332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山东现代莱恩空调设备有限公司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333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山东池田电装有限公司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334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临沂三友重工有限公司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335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山东临工工程机械有限公司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336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临沂正大机械有限公司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337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临沂市安福电子有限公司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338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山东哲能赫太阳能有限公司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339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山东华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昇</w:t>
            </w:r>
            <w:r>
              <w:rPr>
                <w:rStyle w:val="18"/>
                <w:rFonts w:hAnsi="宋体"/>
                <w:lang w:val="en-US" w:eastAsia="zh-CN" w:bidi="ar"/>
              </w:rPr>
              <w:t>隆太阳能科技有限公司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340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沂蒙电缆有限公司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341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山东远通线缆有限公司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342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山东中科智能设备有限公司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343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沃尔沃建机（中国）有限公司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344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山东祥瑞农林科技有限公司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345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临沂科锐电子有限公司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346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临沂市东红机械有限公司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347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临沂精久车轮有限公司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348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山东昆宏锯业有限公司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349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山东益诚液压设备有限公司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350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山东力固机械设备有限公司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351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山东中聚电器有限公司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352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临沂合力电子有限公司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353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山东天丰新能源科技有限公司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354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山东国众机械科技有限公司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355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临沂市富盛机械配件有限公司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356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山东柳工叉车有限公司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357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山东天元钢桥梁工程有限公司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358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山东永佳动力股份有限公司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359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山东开明机械有限公司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360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山重建机有限公司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361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临沂盛德机械有限公司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362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临沂昌立得工程机械设备有限公司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363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山东珠琳智造股份有限公司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364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临沂市禹工车轮有限公司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365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山东蓝天锅炉有限公司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366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临沂市蓝晶光电科技有限公司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367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临沂市河东区富康五金工具有限公司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368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临沂蒙一机械配件有限公司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369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临沂凯士彼机械有限公司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370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山东久登工具有限公司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371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临沂市河东区友达科技铸造材料厂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372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山东博普光电照明科技有限公司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373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临沂福友金属制品有限公司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374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山东亚霖新能源有限公司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375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临沂君工实业有限公司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376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临沂市立州金属切割有限公司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377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临沂天一电子有限公司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378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临沂启阳电缆有限公司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379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临沂市金耐动力机械有限公司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380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山东兴翔电力器材有限公司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381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中车太原机车车辆有限公司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382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神华铁路货车运输有限责任公司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383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中车唐山机车车辆有限公司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384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中车长春轨道客车股份有限公司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385</w:t>
            </w:r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中车齐齐哈尔车辆有限公司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386</w:t>
            </w:r>
            <w:bookmarkStart w:id="0" w:name="_GoBack"/>
            <w:bookmarkEnd w:id="0"/>
          </w:p>
        </w:tc>
        <w:tc>
          <w:tcPr>
            <w:tcW w:w="7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中国农业机械工业协会风力机械分会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type w:val="continuous"/>
      <w:pgSz w:w="11906" w:h="16838"/>
      <w:pgMar w:top="2211" w:right="1814" w:bottom="1871" w:left="181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sz w:val="28"/>
        <w:szCs w:val="28"/>
      </w:rPr>
    </w:pPr>
    <w:r>
      <w:rPr>
        <w:sz w:val="2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jc w:val="right"/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  <w:lang w:val="zh-CN"/>
                  </w:rPr>
                  <w:t>-</w:t>
                </w:r>
                <w:r>
                  <w:rPr>
                    <w:sz w:val="28"/>
                    <w:szCs w:val="28"/>
                  </w:rPr>
                  <w:t xml:space="preserve"> 2 -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5"/>
  <w:displayHorizontalDrawingGridEvery w:val="1"/>
  <w:displayVerticalDrawingGridEvery w:val="1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1"/>
  </w:compat>
  <w:docVars>
    <w:docVar w:name="commondata" w:val="eyJoZGlkIjoiMjY3YTZhMTg2MzNkOWU4NDc4OWYyNDg4Y2ZkMDNkNDEifQ=="/>
  </w:docVars>
  <w:rsids>
    <w:rsidRoot w:val="00000000"/>
    <w:rsid w:val="16DA0303"/>
    <w:rsid w:val="215E09C2"/>
    <w:rsid w:val="22D447A0"/>
    <w:rsid w:val="249B37C8"/>
    <w:rsid w:val="259E7290"/>
    <w:rsid w:val="27D209DC"/>
    <w:rsid w:val="33076065"/>
    <w:rsid w:val="3CFB001A"/>
    <w:rsid w:val="50317489"/>
    <w:rsid w:val="55807CEC"/>
    <w:rsid w:val="574921FB"/>
    <w:rsid w:val="5C423BB6"/>
    <w:rsid w:val="630B2313"/>
    <w:rsid w:val="6E354F6C"/>
    <w:rsid w:val="6EF7304D"/>
    <w:rsid w:val="71B763EC"/>
    <w:rsid w:val="734463A5"/>
    <w:rsid w:val="75CC3BB7"/>
    <w:rsid w:val="7BF70459"/>
    <w:rsid w:val="7DE815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默认段落字体1"/>
    <w:link w:val="1"/>
    <w:semiHidden/>
    <w:qFormat/>
    <w:uiPriority w:val="0"/>
  </w:style>
  <w:style w:type="table" w:customStyle="1" w:styleId="6">
    <w:name w:val="普通表格1"/>
    <w:semiHidden/>
    <w:qFormat/>
    <w:uiPriority w:val="0"/>
  </w:style>
  <w:style w:type="paragraph" w:customStyle="1" w:styleId="7">
    <w:name w:val="页脚1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en-US" w:eastAsia="en-US"/>
    </w:rPr>
  </w:style>
  <w:style w:type="character" w:customStyle="1" w:styleId="8">
    <w:name w:val="页脚 Char"/>
    <w:link w:val="7"/>
    <w:qFormat/>
    <w:uiPriority w:val="0"/>
    <w:rPr>
      <w:kern w:val="2"/>
      <w:sz w:val="18"/>
      <w:szCs w:val="18"/>
    </w:rPr>
  </w:style>
  <w:style w:type="paragraph" w:customStyle="1" w:styleId="9">
    <w:name w:val="页眉1"/>
    <w:basedOn w:val="1"/>
    <w:link w:val="1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en-US" w:eastAsia="en-US"/>
    </w:rPr>
  </w:style>
  <w:style w:type="character" w:customStyle="1" w:styleId="10">
    <w:name w:val="页眉 Char"/>
    <w:link w:val="9"/>
    <w:qFormat/>
    <w:uiPriority w:val="0"/>
    <w:rPr>
      <w:kern w:val="2"/>
      <w:sz w:val="18"/>
      <w:szCs w:val="18"/>
    </w:rPr>
  </w:style>
  <w:style w:type="character" w:customStyle="1" w:styleId="11">
    <w:name w:val="页码1"/>
    <w:link w:val="1"/>
    <w:qFormat/>
    <w:uiPriority w:val="0"/>
  </w:style>
  <w:style w:type="character" w:customStyle="1" w:styleId="12">
    <w:name w:val="强调1"/>
    <w:link w:val="1"/>
    <w:qFormat/>
    <w:uiPriority w:val="0"/>
    <w:rPr>
      <w:i/>
      <w:iCs/>
    </w:rPr>
  </w:style>
  <w:style w:type="paragraph" w:customStyle="1" w:styleId="13">
    <w:name w:val="列出段落"/>
    <w:basedOn w:val="1"/>
    <w:qFormat/>
    <w:uiPriority w:val="0"/>
    <w:pPr>
      <w:ind w:firstLine="420" w:firstLineChars="200"/>
    </w:pPr>
  </w:style>
  <w:style w:type="paragraph" w:customStyle="1" w:styleId="14">
    <w:name w:val="批注框文本1"/>
    <w:basedOn w:val="1"/>
    <w:link w:val="15"/>
    <w:qFormat/>
    <w:uiPriority w:val="0"/>
    <w:rPr>
      <w:sz w:val="18"/>
      <w:szCs w:val="18"/>
    </w:rPr>
  </w:style>
  <w:style w:type="character" w:customStyle="1" w:styleId="15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16">
    <w:name w:val="font21"/>
    <w:basedOn w:val="4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7">
    <w:name w:val="font3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8">
    <w:name w:val="font11"/>
    <w:basedOn w:val="4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26</Pages>
  <Words>6309</Words>
  <Characters>7158</Characters>
  <Lines>0</Lines>
  <Paragraphs>0</Paragraphs>
  <TotalTime>1</TotalTime>
  <ScaleCrop>false</ScaleCrop>
  <LinksUpToDate>false</LinksUpToDate>
  <CharactersWithSpaces>7306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2023-05-11T07:56:00Z</dcterms:created>
  <dc:creator>大猫～朱</dc:creator>
  <cp:lastModifiedBy>大猫～朱</cp:lastModifiedBy>
  <cp:lastPrinted>2023-05-23T02:52:00Z</cp:lastPrinted>
  <dcterms:modified xsi:type="dcterms:W3CDTF">2023-05-23T06:02:57Z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34EE2EB802AB40B289FF86736D051EDE_12</vt:lpwstr>
  </property>
</Properties>
</file>